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28"/>
          <w:sz-cs w:val="28"/>
          <w:b/>
        </w:rPr>
        <w:t xml:space="preserve">Development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28"/>
          <w:sz-cs w:val="28"/>
          <w:b/>
          <w:color w:val="000000"/>
        </w:rPr>
        <w:t xml:space="preserve">Making Sales Work – Part 1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Exercise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ind w:left="720" w:first-line="-720"/>
      </w:pPr>
      <w:r>
        <w:rPr>
          <w:rFonts w:ascii="Times" w:hAnsi="Times" w:cs="Times"/>
          <w:sz w:val="24"/>
          <w:sz-cs w:val="24"/>
          <w:b/>
        </w:rPr>
        <w:t xml:space="preserve">Describe the results you want from your sales team.  EX:  I want my team to get new customers. Then describe how you would design a sales-compensation-plan to drive this particular type of behavior.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center"/>
        <w:ind w:left="720" w:first-line="-720"/>
      </w:pPr>
      <w:r>
        <w:rPr>
          <w:rFonts w:ascii="Times" w:hAnsi="Times" w:cs="Times"/>
          <w:sz w:val="24"/>
          <w:sz-cs w:val="24"/>
          <w:b/>
        </w:rPr>
        <w:t xml:space="preserve">Complete the Sales Agility Assessment (find the link to the online assessment in Tools)</w:t>
      </w: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CocoaOOXMLWriter/1561.2</generator>
</meta>
</file>