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Arial" w:cs="Arial" w:eastAsia="Arial" w:hAnsi="Arial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L4L Academy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Category – Practice- Infrastructure - Finance and Accounting for Enterprise Leaders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Arial" w:cs="Arial" w:eastAsia="Arial" w:hAnsi="Arial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0000"/>
          <w:sz w:val="28"/>
          <w:szCs w:val="28"/>
          <w:rtl w:val="0"/>
        </w:rPr>
        <w:t xml:space="preserve">Income Statement and Balance Sheet- Know Your Numbers</w:t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Arial" w:cs="Arial" w:eastAsia="Arial" w:hAnsi="Arial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0000"/>
          <w:sz w:val="28"/>
          <w:szCs w:val="28"/>
          <w:rtl w:val="0"/>
        </w:rPr>
        <w:t xml:space="preserve">Enterprise Accounting- Why Should I Care?</w:t>
      </w:r>
    </w:p>
    <w:p w:rsidR="00000000" w:rsidDel="00000000" w:rsidP="00000000" w:rsidRDefault="00000000" w:rsidRPr="00000000" w14:paraId="00000004">
      <w:pPr>
        <w:contextualSpacing w:val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 w14:paraId="00000005">
      <w:pPr>
        <w:contextualSpacing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Look at your financial statements and determine the things that need to change to make them more valuable for making good decisions.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Are they ACCURATE?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Are they TIMELY?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Arial" w:cs="Arial" w:eastAsia="Arial" w:hAnsi="Arial"/>
          <w:sz w:val="28"/>
          <w:szCs w:val="28"/>
          <w:u w:val="no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Do I need to change my Chart of Accounts to get good information?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 they give good segregation of items needed to make good decisions?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Can I see cash and current assets?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Can I see current liabilities and long term liabilities?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Is my owners’ equity properly segregate?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 I see discounts in Revenue?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Are my lines of business segregated in revenue and Cost of Sales?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Is cost of sales properly segregated?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 I see marketing cost, sales cost and other operating overhead?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2160" w:right="0" w:hanging="360"/>
        <w:contextualSpacing w:val="1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Is interest expense and income shown after operating expenses?</w:t>
      </w:r>
    </w:p>
    <w:p w:rsidR="00000000" w:rsidDel="00000000" w:rsidP="00000000" w:rsidRDefault="00000000" w:rsidRPr="00000000" w14:paraId="00000012">
      <w:pPr>
        <w:contextualSpacing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After you answer these questions, determine 1) which are the top priority issue(s) to address first; and 2) who is responsible for a project to get positive answers on each of these items, and 3) what is the time frame for solving these issues.</w:t>
      </w:r>
    </w:p>
    <w:p w:rsidR="00000000" w:rsidDel="00000000" w:rsidP="00000000" w:rsidRDefault="00000000" w:rsidRPr="00000000" w14:paraId="00000013">
      <w:pPr>
        <w:contextualSpacing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900" w:top="1080" w:left="1260" w:right="990" w:header="18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737080" cy="523875"/>
          <wp:effectExtent b="0" l="0" r="0" t="0"/>
          <wp:docPr id="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7080" cy="5238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-U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