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People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: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Hiring- Assessments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spacing w:after="200"/>
      </w:pPr>
      <w:r>
        <w:rPr>
          <w:rFonts w:ascii="Times" w:hAnsi="Times" w:cs="Times"/>
          <w:sz w:val="28"/>
          <w:sz-cs w:val="28"/>
          <w:b/>
        </w:rPr>
        <w:t xml:space="preserve">              </w:t>
      </w:r>
      <w:r>
        <w:rPr>
          <w:rFonts w:ascii="Times New Roman" w:hAnsi="Times New Roman" w:cs="Times New Roman"/>
          <w:sz w:val="28"/>
          <w:sz-cs w:val="28"/>
          <w:b/>
        </w:rPr>
        <w:t xml:space="preserve">Exercise: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after="20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</w:rPr>
        <w:t xml:space="preserve">Use the free LifeThrive Assessment on all the people in your organizations; and go over the results with them.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